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E2789C" w14:textId="77777777" w:rsidR="00FE067E" w:rsidRPr="00F96F02" w:rsidRDefault="00CD36CF" w:rsidP="00CC1F3B">
      <w:pPr>
        <w:pStyle w:val="TitlePageOrigin"/>
        <w:rPr>
          <w:color w:val="auto"/>
        </w:rPr>
      </w:pPr>
      <w:r w:rsidRPr="00F96F02">
        <w:rPr>
          <w:color w:val="auto"/>
        </w:rPr>
        <w:t xml:space="preserve">WEST virginia </w:t>
      </w:r>
      <w:r w:rsidR="00274CCF" w:rsidRPr="00F96F02">
        <w:rPr>
          <w:color w:val="auto"/>
        </w:rPr>
        <w:t>Legislature</w:t>
      </w:r>
    </w:p>
    <w:p w14:paraId="3D39F1C2" w14:textId="6A0A3D22" w:rsidR="00CD36CF" w:rsidRPr="00F96F02" w:rsidRDefault="00E429DB" w:rsidP="00CC1F3B">
      <w:pPr>
        <w:pStyle w:val="TitlePageSession"/>
        <w:rPr>
          <w:color w:val="auto"/>
        </w:rPr>
      </w:pPr>
      <w:r w:rsidRPr="00F96F02">
        <w:rPr>
          <w:color w:val="auto"/>
        </w:rPr>
        <w:t>2021</w:t>
      </w:r>
      <w:r w:rsidR="00CD36CF" w:rsidRPr="00F96F02">
        <w:rPr>
          <w:color w:val="auto"/>
        </w:rPr>
        <w:t xml:space="preserve"> regular session</w:t>
      </w:r>
    </w:p>
    <w:p w14:paraId="72FC6754" w14:textId="77777777" w:rsidR="00CD36CF" w:rsidRPr="00F96F02" w:rsidRDefault="002410EA" w:rsidP="00CC1F3B">
      <w:pPr>
        <w:pStyle w:val="TitlePageBillPrefix"/>
        <w:rPr>
          <w:color w:val="auto"/>
        </w:rPr>
      </w:pPr>
      <w:sdt>
        <w:sdtPr>
          <w:rPr>
            <w:color w:val="auto"/>
          </w:rPr>
          <w:tag w:val="IntroDate"/>
          <w:id w:val="-1236936958"/>
          <w:placeholder>
            <w:docPart w:val="262077F1CEAC43F0B63A2D80B7EB781D"/>
          </w:placeholder>
          <w:text/>
        </w:sdtPr>
        <w:sdtEndPr/>
        <w:sdtContent>
          <w:r w:rsidR="00AE48A0" w:rsidRPr="00F96F02">
            <w:rPr>
              <w:color w:val="auto"/>
            </w:rPr>
            <w:t>Introduced</w:t>
          </w:r>
        </w:sdtContent>
      </w:sdt>
    </w:p>
    <w:p w14:paraId="58150922" w14:textId="115E2BE5" w:rsidR="00CD36CF" w:rsidRPr="00F96F02" w:rsidRDefault="002410EA" w:rsidP="00CC1F3B">
      <w:pPr>
        <w:pStyle w:val="BillNumber"/>
        <w:rPr>
          <w:color w:val="auto"/>
        </w:rPr>
      </w:pPr>
      <w:sdt>
        <w:sdtPr>
          <w:rPr>
            <w:color w:val="auto"/>
          </w:rPr>
          <w:tag w:val="Chamber"/>
          <w:id w:val="893011969"/>
          <w:lock w:val="sdtLocked"/>
          <w:placeholder>
            <w:docPart w:val="4A4FF9DFC25649E9B551B2BD82744BA4"/>
          </w:placeholder>
          <w:dropDownList>
            <w:listItem w:displayText="House" w:value="House"/>
            <w:listItem w:displayText="Senate" w:value="Senate"/>
          </w:dropDownList>
        </w:sdtPr>
        <w:sdtEndPr/>
        <w:sdtContent>
          <w:r w:rsidR="00C33434" w:rsidRPr="00F96F02">
            <w:rPr>
              <w:color w:val="auto"/>
            </w:rPr>
            <w:t>House</w:t>
          </w:r>
        </w:sdtContent>
      </w:sdt>
      <w:r w:rsidR="00303684" w:rsidRPr="00F96F02">
        <w:rPr>
          <w:color w:val="auto"/>
        </w:rPr>
        <w:t xml:space="preserve"> </w:t>
      </w:r>
      <w:r w:rsidR="00CD36CF" w:rsidRPr="00F96F02">
        <w:rPr>
          <w:color w:val="auto"/>
        </w:rPr>
        <w:t xml:space="preserve">Bill </w:t>
      </w:r>
      <w:sdt>
        <w:sdtPr>
          <w:rPr>
            <w:color w:val="auto"/>
          </w:rPr>
          <w:tag w:val="BNum"/>
          <w:id w:val="1645317809"/>
          <w:lock w:val="sdtLocked"/>
          <w:placeholder>
            <w:docPart w:val="E1E2AC8F52414CB7A8CAC9336975C0A5"/>
          </w:placeholder>
          <w:text/>
        </w:sdtPr>
        <w:sdtEndPr/>
        <w:sdtContent>
          <w:r>
            <w:rPr>
              <w:color w:val="auto"/>
            </w:rPr>
            <w:t>2824</w:t>
          </w:r>
        </w:sdtContent>
      </w:sdt>
    </w:p>
    <w:p w14:paraId="3A0C54DD" w14:textId="2B9B74E9" w:rsidR="00CD36CF" w:rsidRPr="00F96F02" w:rsidRDefault="00CD36CF" w:rsidP="00CC1F3B">
      <w:pPr>
        <w:pStyle w:val="Sponsors"/>
        <w:rPr>
          <w:color w:val="auto"/>
        </w:rPr>
      </w:pPr>
      <w:r w:rsidRPr="00F96F02">
        <w:rPr>
          <w:color w:val="auto"/>
        </w:rPr>
        <w:t xml:space="preserve">By </w:t>
      </w:r>
      <w:sdt>
        <w:sdtPr>
          <w:rPr>
            <w:color w:val="auto"/>
          </w:rPr>
          <w:tag w:val="Sponsors"/>
          <w:id w:val="1589585889"/>
          <w:placeholder>
            <w:docPart w:val="EAE45A651D4745E790ECB2ACB0743862"/>
          </w:placeholder>
          <w:text w:multiLine="1"/>
        </w:sdtPr>
        <w:sdtEndPr/>
        <w:sdtContent>
          <w:r w:rsidR="009C04A8" w:rsidRPr="00F96F02">
            <w:rPr>
              <w:color w:val="auto"/>
            </w:rPr>
            <w:t>Delegate Barrett</w:t>
          </w:r>
        </w:sdtContent>
      </w:sdt>
    </w:p>
    <w:p w14:paraId="06207143" w14:textId="34144233" w:rsidR="00E831B3" w:rsidRPr="00F96F02" w:rsidRDefault="00CD36CF" w:rsidP="00BD4ED7">
      <w:pPr>
        <w:pStyle w:val="References"/>
        <w:rPr>
          <w:color w:val="auto"/>
        </w:rPr>
      </w:pPr>
      <w:r w:rsidRPr="00F96F02">
        <w:rPr>
          <w:color w:val="auto"/>
        </w:rPr>
        <w:t>[</w:t>
      </w:r>
      <w:sdt>
        <w:sdtPr>
          <w:rPr>
            <w:rFonts w:eastAsiaTheme="minorHAnsi"/>
            <w:color w:val="auto"/>
            <w:sz w:val="22"/>
          </w:rPr>
          <w:tag w:val="References"/>
          <w:id w:val="-1043047873"/>
          <w:placeholder>
            <w:docPart w:val="72F96FE023FE4DCF8CE63779FEE0FE2B"/>
          </w:placeholder>
          <w:text w:multiLine="1"/>
        </w:sdtPr>
        <w:sdtEndPr/>
        <w:sdtContent>
          <w:r w:rsidR="002410EA">
            <w:rPr>
              <w:rFonts w:eastAsiaTheme="minorHAnsi"/>
              <w:color w:val="auto"/>
              <w:sz w:val="22"/>
            </w:rPr>
            <w:t>Introduced March 02, 2021; Referred to the Committee on Education then Finance</w:t>
          </w:r>
        </w:sdtContent>
      </w:sdt>
      <w:r w:rsidRPr="00F96F02">
        <w:rPr>
          <w:color w:val="auto"/>
        </w:rPr>
        <w:t>]</w:t>
      </w:r>
    </w:p>
    <w:p w14:paraId="25A5DC0D" w14:textId="77777777" w:rsidR="00303684" w:rsidRPr="00F96F02" w:rsidRDefault="0000526A" w:rsidP="00CC1F3B">
      <w:pPr>
        <w:pStyle w:val="TitleSection"/>
        <w:rPr>
          <w:color w:val="auto"/>
        </w:rPr>
      </w:pPr>
      <w:r w:rsidRPr="00F96F02">
        <w:rPr>
          <w:color w:val="auto"/>
        </w:rPr>
        <w:lastRenderedPageBreak/>
        <w:t>A BILL</w:t>
      </w:r>
      <w:r w:rsidR="00016C77" w:rsidRPr="00F96F02">
        <w:rPr>
          <w:color w:val="auto"/>
        </w:rPr>
        <w:t xml:space="preserve"> to amend and reenact </w:t>
      </w:r>
      <w:r w:rsidR="00274CCF" w:rsidRPr="00F96F02">
        <w:rPr>
          <w:color w:val="auto"/>
        </w:rPr>
        <w:t>§</w:t>
      </w:r>
      <w:r w:rsidR="00016C77" w:rsidRPr="00F96F02">
        <w:rPr>
          <w:color w:val="auto"/>
        </w:rPr>
        <w:t xml:space="preserve">18-20-10 of the Code of West Virginia, 1931, as amended, relating </w:t>
      </w:r>
      <w:r w:rsidR="00C65DD8" w:rsidRPr="00F96F02">
        <w:rPr>
          <w:color w:val="auto"/>
        </w:rPr>
        <w:t>to public school education assessment of students for dyslexia and dyscalculia;</w:t>
      </w:r>
      <w:r w:rsidR="00352335" w:rsidRPr="00F96F02">
        <w:rPr>
          <w:color w:val="auto"/>
        </w:rPr>
        <w:t xml:space="preserve"> specifying S</w:t>
      </w:r>
      <w:r w:rsidR="00C65DD8" w:rsidRPr="00F96F02">
        <w:rPr>
          <w:color w:val="auto"/>
        </w:rPr>
        <w:t xml:space="preserve">tate </w:t>
      </w:r>
      <w:r w:rsidR="00352335" w:rsidRPr="00F96F02">
        <w:rPr>
          <w:color w:val="auto"/>
        </w:rPr>
        <w:t>B</w:t>
      </w:r>
      <w:r w:rsidR="00C65DD8" w:rsidRPr="00F96F02">
        <w:rPr>
          <w:color w:val="auto"/>
        </w:rPr>
        <w:t xml:space="preserve">oard of </w:t>
      </w:r>
      <w:r w:rsidR="00352335" w:rsidRPr="00F96F02">
        <w:rPr>
          <w:color w:val="auto"/>
        </w:rPr>
        <w:t>E</w:t>
      </w:r>
      <w:r w:rsidR="00C65DD8" w:rsidRPr="00F96F02">
        <w:rPr>
          <w:color w:val="auto"/>
        </w:rPr>
        <w:t xml:space="preserve">ducation </w:t>
      </w:r>
      <w:r w:rsidR="00D663F6" w:rsidRPr="00F96F02">
        <w:rPr>
          <w:color w:val="auto"/>
        </w:rPr>
        <w:t xml:space="preserve">and local school boards </w:t>
      </w:r>
      <w:r w:rsidR="00352335" w:rsidRPr="00F96F02">
        <w:rPr>
          <w:color w:val="auto"/>
        </w:rPr>
        <w:t xml:space="preserve">responsibilities </w:t>
      </w:r>
      <w:r w:rsidR="00C65DD8" w:rsidRPr="00F96F02">
        <w:rPr>
          <w:color w:val="auto"/>
        </w:rPr>
        <w:t>relating to dyslexia and dyscalculia.</w:t>
      </w:r>
    </w:p>
    <w:p w14:paraId="66F7A7DA" w14:textId="77777777" w:rsidR="00303684" w:rsidRPr="00F96F02" w:rsidRDefault="00303684" w:rsidP="00CC1F3B">
      <w:pPr>
        <w:pStyle w:val="EnactingClause"/>
        <w:rPr>
          <w:color w:val="auto"/>
        </w:rPr>
        <w:sectPr w:rsidR="00303684" w:rsidRPr="00F96F02" w:rsidSect="001E050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F96F02">
        <w:rPr>
          <w:color w:val="auto"/>
        </w:rPr>
        <w:t>Be it enacted by the Legislature of West Virginia:</w:t>
      </w:r>
    </w:p>
    <w:p w14:paraId="05B08853" w14:textId="77777777" w:rsidR="00F34A11" w:rsidRPr="00F96F02" w:rsidRDefault="00F34A11" w:rsidP="00F47A66">
      <w:pPr>
        <w:pStyle w:val="ArticleHeading"/>
        <w:rPr>
          <w:color w:val="auto"/>
        </w:rPr>
        <w:sectPr w:rsidR="00F34A11" w:rsidRPr="00F96F02" w:rsidSect="001E0507">
          <w:type w:val="continuous"/>
          <w:pgSz w:w="12240" w:h="15840" w:code="1"/>
          <w:pgMar w:top="1440" w:right="1440" w:bottom="1440" w:left="1440" w:header="720" w:footer="720" w:gutter="0"/>
          <w:lnNumType w:countBy="1" w:restart="newSection"/>
          <w:cols w:space="720"/>
          <w:titlePg/>
          <w:docGrid w:linePitch="360"/>
        </w:sectPr>
      </w:pPr>
      <w:r w:rsidRPr="00F96F02">
        <w:rPr>
          <w:color w:val="auto"/>
        </w:rPr>
        <w:t>ARTICLE 20. EDUCATION OF EXCEPTIONAL CHILDREN.</w:t>
      </w:r>
    </w:p>
    <w:p w14:paraId="606A7932" w14:textId="77777777" w:rsidR="00F34A11" w:rsidRPr="00F96F02" w:rsidRDefault="00274CCF" w:rsidP="006C319F">
      <w:pPr>
        <w:pStyle w:val="SectionHeading"/>
        <w:rPr>
          <w:color w:val="auto"/>
        </w:rPr>
      </w:pPr>
      <w:r w:rsidRPr="00F96F02">
        <w:rPr>
          <w:color w:val="auto"/>
        </w:rPr>
        <w:t>§</w:t>
      </w:r>
      <w:r w:rsidR="00F34A11" w:rsidRPr="00F96F02">
        <w:rPr>
          <w:color w:val="auto"/>
        </w:rPr>
        <w:t>18</w:t>
      </w:r>
      <w:r w:rsidR="00FE2D70" w:rsidRPr="00F96F02">
        <w:rPr>
          <w:color w:val="auto"/>
        </w:rPr>
        <w:t>-</w:t>
      </w:r>
      <w:r w:rsidR="00F34A11" w:rsidRPr="00F96F02">
        <w:rPr>
          <w:color w:val="auto"/>
        </w:rPr>
        <w:t>20</w:t>
      </w:r>
      <w:r w:rsidR="00FE2D70" w:rsidRPr="00F96F02">
        <w:rPr>
          <w:color w:val="auto"/>
        </w:rPr>
        <w:t>-</w:t>
      </w:r>
      <w:r w:rsidR="00F34A11" w:rsidRPr="00F96F02">
        <w:rPr>
          <w:color w:val="auto"/>
        </w:rPr>
        <w:t>10. Dyslexia and dyscalculia defined</w:t>
      </w:r>
      <w:r w:rsidR="00724F33" w:rsidRPr="00F96F02">
        <w:rPr>
          <w:color w:val="auto"/>
        </w:rPr>
        <w:t xml:space="preserve">; </w:t>
      </w:r>
      <w:r w:rsidR="00724F33" w:rsidRPr="00F96F02">
        <w:rPr>
          <w:color w:val="auto"/>
          <w:u w:val="single"/>
        </w:rPr>
        <w:t>responsibilities of State Board of Education and local boards of education</w:t>
      </w:r>
      <w:r w:rsidR="00F34A11" w:rsidRPr="00F96F02">
        <w:rPr>
          <w:color w:val="auto"/>
          <w:u w:val="single"/>
        </w:rPr>
        <w:t>.</w:t>
      </w:r>
    </w:p>
    <w:p w14:paraId="6FB850F9" w14:textId="77777777" w:rsidR="00F34A11" w:rsidRPr="00F96F02" w:rsidRDefault="00F34A11" w:rsidP="006C319F">
      <w:pPr>
        <w:pStyle w:val="SectionBody"/>
        <w:rPr>
          <w:color w:val="auto"/>
        </w:rPr>
      </w:pPr>
      <w:r w:rsidRPr="00F96F02">
        <w:rPr>
          <w:color w:val="auto"/>
        </w:rPr>
        <w:t>(a) The Legislature finds as follows:</w:t>
      </w:r>
    </w:p>
    <w:p w14:paraId="0D074A2F" w14:textId="77777777" w:rsidR="00F34A11" w:rsidRPr="00F96F02" w:rsidRDefault="00F34A11" w:rsidP="006C319F">
      <w:pPr>
        <w:pStyle w:val="SectionBody"/>
        <w:rPr>
          <w:color w:val="auto"/>
        </w:rPr>
      </w:pPr>
      <w:r w:rsidRPr="00F96F02">
        <w:rPr>
          <w:color w:val="auto"/>
        </w:rPr>
        <w:t>(1) Reading difficulties are the most common cause of academic failure and underachievement;</w:t>
      </w:r>
    </w:p>
    <w:p w14:paraId="6BB5ABF0" w14:textId="77777777" w:rsidR="00F34A11" w:rsidRPr="00F96F02" w:rsidRDefault="00F34A11" w:rsidP="006C319F">
      <w:pPr>
        <w:pStyle w:val="SectionBody"/>
        <w:rPr>
          <w:color w:val="auto"/>
        </w:rPr>
      </w:pPr>
      <w:r w:rsidRPr="00F96F02">
        <w:rPr>
          <w:color w:val="auto"/>
        </w:rPr>
        <w:t>(2) There are many students who demonstrate significant weaknesses with reading, writing and mathematics that are the root causes of specific learning disabilities, including dyslexia, dyscalculia and related learning difficulties. Of those who are referred to special education services in public schools, the majority are referred because of problems with language, reading, writing, or a combination of each;</w:t>
      </w:r>
    </w:p>
    <w:p w14:paraId="3391FF3D" w14:textId="77777777" w:rsidR="00F34A11" w:rsidRPr="00F96F02" w:rsidRDefault="00F34A11" w:rsidP="006C319F">
      <w:pPr>
        <w:pStyle w:val="SectionBody"/>
        <w:rPr>
          <w:color w:val="auto"/>
        </w:rPr>
      </w:pPr>
      <w:r w:rsidRPr="00F96F02">
        <w:rPr>
          <w:color w:val="auto"/>
        </w:rPr>
        <w:t>(3) Teaching reading effectively, especially to students experiencing difficulty, requires considerable knowledge and skill. Informed and effective classroom instruction, especially in the early grades, can prevent and relieve the severity of language difficulties, and significantly improve literacy development;</w:t>
      </w:r>
    </w:p>
    <w:p w14:paraId="02F9941E" w14:textId="77777777" w:rsidR="00F34A11" w:rsidRPr="00F96F02" w:rsidRDefault="00F34A11" w:rsidP="006C319F">
      <w:pPr>
        <w:pStyle w:val="SectionBody"/>
        <w:rPr>
          <w:color w:val="auto"/>
        </w:rPr>
      </w:pPr>
      <w:r w:rsidRPr="00F96F02">
        <w:rPr>
          <w:color w:val="auto"/>
        </w:rPr>
        <w:t>(4) For those students with specific learning disabilities, including dyslexia and dyscalculia, who need specialized instruction, competent intervention can lessen the impact of the disorder and help the student overcome the most debilitating symptoms;</w:t>
      </w:r>
    </w:p>
    <w:p w14:paraId="3BB3E4EB" w14:textId="77777777" w:rsidR="00F34A11" w:rsidRPr="00F96F02" w:rsidRDefault="00F34A11" w:rsidP="006C319F">
      <w:pPr>
        <w:pStyle w:val="SectionBody"/>
        <w:rPr>
          <w:color w:val="auto"/>
        </w:rPr>
      </w:pPr>
      <w:r w:rsidRPr="00F96F02">
        <w:rPr>
          <w:color w:val="auto"/>
        </w:rPr>
        <w:t>(5) While programs for specific learning disabilities, including dyslexia and dyscalculia, that certify or support teachers, clinicians or specialists differ in their preparation methodologies, teaching approaches and organizational purposes, they should ascribe to a common set of professional standards for the benefit of the students they serve. Compliance with such standards can assure the public that individuals who serve students with specific learning disabilities in public schools are prepared to implement scientifically based and clinically proven practices;</w:t>
      </w:r>
    </w:p>
    <w:p w14:paraId="7F61D0AE" w14:textId="71BBC9FF" w:rsidR="00F34A11" w:rsidRPr="00F96F02" w:rsidRDefault="00F34A11" w:rsidP="006C319F">
      <w:pPr>
        <w:pStyle w:val="SectionBody"/>
        <w:rPr>
          <w:color w:val="auto"/>
        </w:rPr>
      </w:pPr>
      <w:r w:rsidRPr="00F96F02">
        <w:rPr>
          <w:color w:val="auto"/>
        </w:rPr>
        <w:t>(6) The American Psychiatric Association</w:t>
      </w:r>
      <w:r w:rsidR="00D40FDF" w:rsidRPr="00F96F02">
        <w:rPr>
          <w:color w:val="auto"/>
        </w:rPr>
        <w:t>’</w:t>
      </w:r>
      <w:r w:rsidRPr="00F96F02">
        <w:rPr>
          <w:color w:val="auto"/>
        </w:rPr>
        <w:t>s Diagnostic and Statistical Manual of Mental Disorders, Fifth Edition (DSM-5), and the federal Individuals with Disabilities Education and Improvement Act of 2004 (IDEA) offer widely-adopted and consistent standards to guide the preparation, certification and professional development for teachers of reading and related literacy skills in classroom, remedial and clinical settings; and</w:t>
      </w:r>
    </w:p>
    <w:p w14:paraId="668F94BA" w14:textId="77777777" w:rsidR="00F34A11" w:rsidRPr="00F96F02" w:rsidRDefault="00F34A11" w:rsidP="006C319F">
      <w:pPr>
        <w:pStyle w:val="SectionBody"/>
        <w:rPr>
          <w:color w:val="auto"/>
        </w:rPr>
      </w:pPr>
      <w:r w:rsidRPr="00F96F02">
        <w:rPr>
          <w:color w:val="auto"/>
        </w:rPr>
        <w:t>(7) The basis of ascribing to common standards to benefit students with specific learning disabilities, including dyslexia and dyscalculia, requires recognizing common characteristics of the disabilities. The Legislature finds that the definitions of dyslexia and dyscalculia prescribed by IDEA and DSM-5 are the appropriate measure for recognizing characteristics of dyslexia and dyscalculia in students.</w:t>
      </w:r>
    </w:p>
    <w:p w14:paraId="2D49849B" w14:textId="77777777" w:rsidR="00F34A11" w:rsidRPr="00F96F02" w:rsidRDefault="00F34A11" w:rsidP="006C319F">
      <w:pPr>
        <w:pStyle w:val="SectionBody"/>
        <w:rPr>
          <w:color w:val="auto"/>
        </w:rPr>
      </w:pPr>
      <w:r w:rsidRPr="00F96F02">
        <w:rPr>
          <w:color w:val="auto"/>
        </w:rPr>
        <w:t>(b) The Legislature recognizes the following regarding dyslexia and dyscalculia:</w:t>
      </w:r>
    </w:p>
    <w:p w14:paraId="7870EA66" w14:textId="5F053BBD" w:rsidR="00F34A11" w:rsidRPr="00F96F02" w:rsidRDefault="00F34A11" w:rsidP="006C319F">
      <w:pPr>
        <w:pStyle w:val="SectionBody"/>
        <w:rPr>
          <w:color w:val="auto"/>
        </w:rPr>
      </w:pPr>
      <w:r w:rsidRPr="00F96F02">
        <w:rPr>
          <w:color w:val="auto"/>
        </w:rPr>
        <w:t xml:space="preserve">(1) Dyslexia and dyscalculia are conditions that may be considered under the specific learning disability category, and their definitions are consistent with IDEA and state board policy. State board policy provides that </w:t>
      </w:r>
      <w:r w:rsidR="00D40FDF" w:rsidRPr="00F96F02">
        <w:rPr>
          <w:color w:val="auto"/>
        </w:rPr>
        <w:t>“</w:t>
      </w:r>
      <w:r w:rsidRPr="00F96F02">
        <w:rPr>
          <w:color w:val="auto"/>
        </w:rPr>
        <w:t>specific learning disability</w:t>
      </w:r>
      <w:r w:rsidR="00D40FDF" w:rsidRPr="00F96F02">
        <w:rPr>
          <w:color w:val="auto"/>
        </w:rPr>
        <w:t>”</w:t>
      </w:r>
      <w:r w:rsidRPr="00F96F02">
        <w:rPr>
          <w:color w:val="auto"/>
        </w:rPr>
        <w:t xml:space="preserve"> means a disorder in one or more of the basic psychological processes involved in understanding or in using language, spoken or written, that may manifest itself in the imperfect ability to listen, think, speak, read, write, spell, or to do mathematical calculations, including conditions such as perceptual disabilities, brain injury, minimal brain dysfunction, dyslexia</w:t>
      </w:r>
      <w:r w:rsidR="00863C5D" w:rsidRPr="00F96F02">
        <w:rPr>
          <w:color w:val="auto"/>
        </w:rPr>
        <w:t>,</w:t>
      </w:r>
      <w:r w:rsidRPr="00F96F02">
        <w:rPr>
          <w:color w:val="auto"/>
        </w:rPr>
        <w:t xml:space="preserve"> and developmental aphasia;</w:t>
      </w:r>
    </w:p>
    <w:p w14:paraId="1EDD3ED2" w14:textId="77777777" w:rsidR="00F34A11" w:rsidRPr="00F96F02" w:rsidRDefault="00F34A11" w:rsidP="006C319F">
      <w:pPr>
        <w:pStyle w:val="SectionBody"/>
        <w:rPr>
          <w:color w:val="auto"/>
        </w:rPr>
      </w:pPr>
      <w:r w:rsidRPr="00F96F02">
        <w:rPr>
          <w:color w:val="auto"/>
        </w:rPr>
        <w:t>(2) Dyslexia is an alternative term used to refer to a pattern of learning difficulties characterized by problems with accurate or fluent word recognition, poor decoding, and poor spelling abilities. If dyslexia is used to specify this particular pattern of difficulties, it is important also to specify any additional difficulties that are present, such as difficulties with reading comprehension or math reasoning; and</w:t>
      </w:r>
    </w:p>
    <w:p w14:paraId="28BFCA31" w14:textId="77777777" w:rsidR="00F34A11" w:rsidRPr="00F96F02" w:rsidRDefault="00F34A11" w:rsidP="006C319F">
      <w:pPr>
        <w:pStyle w:val="SectionBody"/>
        <w:rPr>
          <w:color w:val="auto"/>
        </w:rPr>
      </w:pPr>
      <w:r w:rsidRPr="00F96F02">
        <w:rPr>
          <w:color w:val="auto"/>
        </w:rPr>
        <w:t>(3) Dyscalculia is an alternative term used to refer to a pattern of learning difficulties characterized by problems processing numerical information, learning arithmetic facts, and performing accurate or fluent calculations. If dyscalculia is used to specify this particular pattern of mathematic difficulties, it is important also to specify any additional difficulties that are present, such as difficulties with math reasoning or word reasoning accuracy.</w:t>
      </w:r>
    </w:p>
    <w:p w14:paraId="60BC93B7" w14:textId="77777777" w:rsidR="00F34A11" w:rsidRPr="00F96F02" w:rsidRDefault="00F34A11" w:rsidP="006C319F">
      <w:pPr>
        <w:pStyle w:val="SectionBody"/>
        <w:rPr>
          <w:strike/>
          <w:color w:val="auto"/>
        </w:rPr>
      </w:pPr>
      <w:r w:rsidRPr="00F96F02">
        <w:rPr>
          <w:strike/>
          <w:color w:val="auto"/>
        </w:rPr>
        <w:t>(c) The state board is responsible for the following:</w:t>
      </w:r>
    </w:p>
    <w:p w14:paraId="3D7BAC1F" w14:textId="77777777" w:rsidR="00F34A11" w:rsidRPr="00F96F02" w:rsidRDefault="00F34A11" w:rsidP="006C319F">
      <w:pPr>
        <w:pStyle w:val="SectionBody"/>
        <w:rPr>
          <w:strike/>
          <w:color w:val="auto"/>
        </w:rPr>
      </w:pPr>
      <w:r w:rsidRPr="00F96F02">
        <w:rPr>
          <w:strike/>
          <w:color w:val="auto"/>
        </w:rPr>
        <w:t>(1) Ensuring that all students receive the necessary and appropriate screenings, evaluations and early assessments for specific learning disabilities, including dyslexia and dyscalculia;</w:t>
      </w:r>
    </w:p>
    <w:p w14:paraId="4C86F688" w14:textId="77777777" w:rsidR="00F34A11" w:rsidRPr="00F96F02" w:rsidRDefault="00F34A11" w:rsidP="006C319F">
      <w:pPr>
        <w:pStyle w:val="SectionBody"/>
        <w:rPr>
          <w:strike/>
          <w:color w:val="auto"/>
        </w:rPr>
      </w:pPr>
      <w:r w:rsidRPr="00F96F02">
        <w:rPr>
          <w:strike/>
          <w:color w:val="auto"/>
        </w:rPr>
        <w:t>(2) Ensuring that any Individualized Education Program regarding specific learning disabilities, including dyslexia or dyscalculia, which is developed or implemented, is consistent with the provisions of this section; and</w:t>
      </w:r>
    </w:p>
    <w:p w14:paraId="70AC8E01" w14:textId="77777777" w:rsidR="00F34A11" w:rsidRPr="00F96F02" w:rsidRDefault="00F34A11" w:rsidP="006C319F">
      <w:pPr>
        <w:pStyle w:val="SectionBody"/>
        <w:rPr>
          <w:strike/>
          <w:color w:val="auto"/>
        </w:rPr>
      </w:pPr>
      <w:r w:rsidRPr="00F96F02">
        <w:rPr>
          <w:strike/>
          <w:color w:val="auto"/>
        </w:rPr>
        <w:t xml:space="preserve">(3) Providing ongoing information and education to parents regarding specific learning disabilities, including dyslexia and dyscalculia, and the services available to </w:t>
      </w:r>
      <w:r w:rsidR="00BD4ED7" w:rsidRPr="00F96F02">
        <w:rPr>
          <w:strike/>
          <w:color w:val="auto"/>
        </w:rPr>
        <w:t>students with such disabilities</w:t>
      </w:r>
    </w:p>
    <w:p w14:paraId="26D0AAF6" w14:textId="77777777" w:rsidR="00102700" w:rsidRPr="00F96F02" w:rsidRDefault="00177F5D" w:rsidP="00177F5D">
      <w:pPr>
        <w:pStyle w:val="SectionBody"/>
        <w:rPr>
          <w:color w:val="auto"/>
          <w:u w:val="single"/>
        </w:rPr>
      </w:pPr>
      <w:r w:rsidRPr="00F96F02">
        <w:rPr>
          <w:color w:val="auto"/>
          <w:u w:val="single"/>
        </w:rPr>
        <w:t>(</w:t>
      </w:r>
      <w:r w:rsidR="00F83EDC" w:rsidRPr="00F96F02">
        <w:rPr>
          <w:color w:val="auto"/>
          <w:u w:val="single"/>
        </w:rPr>
        <w:t>c</w:t>
      </w:r>
      <w:r w:rsidRPr="00F96F02">
        <w:rPr>
          <w:color w:val="auto"/>
          <w:u w:val="single"/>
        </w:rPr>
        <w:t>) The State Board of Education shall</w:t>
      </w:r>
      <w:r w:rsidR="00102700" w:rsidRPr="00F96F02">
        <w:rPr>
          <w:color w:val="auto"/>
          <w:u w:val="single"/>
        </w:rPr>
        <w:t>:</w:t>
      </w:r>
    </w:p>
    <w:p w14:paraId="2E3B56BE" w14:textId="77777777" w:rsidR="00F3268F" w:rsidRPr="00F96F02" w:rsidRDefault="00563116" w:rsidP="00F3268F">
      <w:pPr>
        <w:pStyle w:val="SectionBody"/>
        <w:rPr>
          <w:color w:val="auto"/>
        </w:rPr>
      </w:pPr>
      <w:r w:rsidRPr="00F96F02">
        <w:rPr>
          <w:color w:val="auto"/>
          <w:u w:val="single"/>
        </w:rPr>
        <w:t>(1) D</w:t>
      </w:r>
      <w:r w:rsidR="00F3268F" w:rsidRPr="00F96F02">
        <w:rPr>
          <w:color w:val="auto"/>
          <w:u w:val="single"/>
        </w:rPr>
        <w:t>evelop and adopt informational materials and guidelines for students with dyslexia and students with dyscalculia, including age-appropriate screening instruments, a comprehensive assessment for students who exhibit potential indicators for dyslexia, dyscalculia, or other specific learning disabilities, and guidelines on appr</w:t>
      </w:r>
      <w:r w:rsidR="0094357F" w:rsidRPr="00F96F02">
        <w:rPr>
          <w:color w:val="auto"/>
          <w:u w:val="single"/>
        </w:rPr>
        <w:t>opriate intervention strategies; and</w:t>
      </w:r>
    </w:p>
    <w:p w14:paraId="357B736B" w14:textId="77777777" w:rsidR="00102700" w:rsidRPr="00F96F02" w:rsidRDefault="0094357F" w:rsidP="00177F5D">
      <w:pPr>
        <w:pStyle w:val="SectionBody"/>
        <w:rPr>
          <w:color w:val="auto"/>
          <w:u w:val="single"/>
        </w:rPr>
      </w:pPr>
      <w:r w:rsidRPr="00F96F02">
        <w:rPr>
          <w:color w:val="auto"/>
          <w:u w:val="single"/>
        </w:rPr>
        <w:t>(2) P</w:t>
      </w:r>
      <w:r w:rsidR="00177F5D" w:rsidRPr="00F96F02">
        <w:rPr>
          <w:color w:val="auto"/>
          <w:u w:val="single"/>
        </w:rPr>
        <w:t xml:space="preserve">rovide informational materials and screening instruments to local boards of education to identify students who exhibit potential indicators of dyslexia and dyscalculia. </w:t>
      </w:r>
    </w:p>
    <w:p w14:paraId="5C0792C8" w14:textId="494D100B" w:rsidR="00102700" w:rsidRPr="00F96F02" w:rsidRDefault="0094357F" w:rsidP="00177F5D">
      <w:pPr>
        <w:pStyle w:val="SectionBody"/>
        <w:rPr>
          <w:color w:val="auto"/>
          <w:u w:val="single"/>
        </w:rPr>
      </w:pPr>
      <w:r w:rsidRPr="00F96F02">
        <w:rPr>
          <w:color w:val="auto"/>
          <w:u w:val="single"/>
        </w:rPr>
        <w:t>(</w:t>
      </w:r>
      <w:r w:rsidR="00F83EDC" w:rsidRPr="00F96F02">
        <w:rPr>
          <w:color w:val="auto"/>
          <w:u w:val="single"/>
        </w:rPr>
        <w:t>d</w:t>
      </w:r>
      <w:r w:rsidRPr="00F96F02">
        <w:rPr>
          <w:color w:val="auto"/>
          <w:u w:val="single"/>
        </w:rPr>
        <w:t xml:space="preserve">) </w:t>
      </w:r>
      <w:r w:rsidR="00102700" w:rsidRPr="00F96F02">
        <w:rPr>
          <w:color w:val="auto"/>
          <w:u w:val="single"/>
        </w:rPr>
        <w:t xml:space="preserve">Each local </w:t>
      </w:r>
      <w:r w:rsidR="00472789" w:rsidRPr="00F96F02">
        <w:rPr>
          <w:color w:val="auto"/>
          <w:u w:val="single"/>
        </w:rPr>
        <w:t>b</w:t>
      </w:r>
      <w:r w:rsidR="00274CCF" w:rsidRPr="00F96F02">
        <w:rPr>
          <w:color w:val="auto"/>
          <w:u w:val="single"/>
        </w:rPr>
        <w:t xml:space="preserve">oard of </w:t>
      </w:r>
      <w:r w:rsidR="00472789" w:rsidRPr="00F96F02">
        <w:rPr>
          <w:color w:val="auto"/>
          <w:u w:val="single"/>
        </w:rPr>
        <w:t>e</w:t>
      </w:r>
      <w:r w:rsidR="00274CCF" w:rsidRPr="00F96F02">
        <w:rPr>
          <w:color w:val="auto"/>
          <w:u w:val="single"/>
        </w:rPr>
        <w:t>ducation</w:t>
      </w:r>
      <w:r w:rsidR="00102700" w:rsidRPr="00F96F02">
        <w:rPr>
          <w:color w:val="auto"/>
          <w:u w:val="single"/>
        </w:rPr>
        <w:t xml:space="preserve"> shall</w:t>
      </w:r>
      <w:r w:rsidR="0072279C" w:rsidRPr="00F96F02">
        <w:rPr>
          <w:color w:val="auto"/>
          <w:u w:val="single"/>
        </w:rPr>
        <w:t>:</w:t>
      </w:r>
    </w:p>
    <w:p w14:paraId="2996E45D" w14:textId="77777777" w:rsidR="000F7648" w:rsidRPr="00F96F02" w:rsidRDefault="0094357F" w:rsidP="00177F5D">
      <w:pPr>
        <w:pStyle w:val="SectionBody"/>
        <w:rPr>
          <w:color w:val="auto"/>
          <w:u w:val="single"/>
        </w:rPr>
      </w:pPr>
      <w:r w:rsidRPr="00F96F02">
        <w:rPr>
          <w:color w:val="auto"/>
          <w:u w:val="single"/>
        </w:rPr>
        <w:t>(1)</w:t>
      </w:r>
      <w:r w:rsidR="00177F5D" w:rsidRPr="00F96F02">
        <w:rPr>
          <w:color w:val="auto"/>
          <w:u w:val="single"/>
        </w:rPr>
        <w:t xml:space="preserve"> </w:t>
      </w:r>
      <w:r w:rsidRPr="00F96F02">
        <w:rPr>
          <w:color w:val="auto"/>
          <w:u w:val="single"/>
        </w:rPr>
        <w:t>P</w:t>
      </w:r>
      <w:r w:rsidR="00177F5D" w:rsidRPr="00F96F02">
        <w:rPr>
          <w:color w:val="auto"/>
          <w:u w:val="single"/>
        </w:rPr>
        <w:t xml:space="preserve">rovide </w:t>
      </w:r>
      <w:r w:rsidR="00F245C1" w:rsidRPr="00F96F02">
        <w:rPr>
          <w:color w:val="auto"/>
          <w:u w:val="single"/>
        </w:rPr>
        <w:t>a system for</w:t>
      </w:r>
      <w:r w:rsidR="00177F5D" w:rsidRPr="00F96F02">
        <w:rPr>
          <w:color w:val="auto"/>
          <w:u w:val="single"/>
        </w:rPr>
        <w:t xml:space="preserve"> parents to receive informational materials related to dyslexia and dyscalculia on an annual basis</w:t>
      </w:r>
      <w:r w:rsidR="00F245C1" w:rsidRPr="00F96F02">
        <w:rPr>
          <w:color w:val="auto"/>
          <w:u w:val="single"/>
        </w:rPr>
        <w:t>;</w:t>
      </w:r>
      <w:r w:rsidR="00177F5D" w:rsidRPr="00F96F02">
        <w:rPr>
          <w:color w:val="auto"/>
          <w:u w:val="single"/>
        </w:rPr>
        <w:t xml:space="preserve"> </w:t>
      </w:r>
    </w:p>
    <w:p w14:paraId="1CC3983B" w14:textId="77777777" w:rsidR="00177F5D" w:rsidRPr="00F96F02" w:rsidRDefault="00177F5D" w:rsidP="00177F5D">
      <w:pPr>
        <w:pStyle w:val="SectionBody"/>
        <w:rPr>
          <w:color w:val="auto"/>
          <w:u w:val="single"/>
        </w:rPr>
      </w:pPr>
      <w:r w:rsidRPr="00F96F02">
        <w:rPr>
          <w:color w:val="auto"/>
          <w:u w:val="single"/>
        </w:rPr>
        <w:t>(</w:t>
      </w:r>
      <w:r w:rsidR="00F245C1" w:rsidRPr="00F96F02">
        <w:rPr>
          <w:color w:val="auto"/>
          <w:u w:val="single"/>
        </w:rPr>
        <w:t>2) E</w:t>
      </w:r>
      <w:r w:rsidRPr="00F96F02">
        <w:rPr>
          <w:color w:val="auto"/>
          <w:u w:val="single"/>
        </w:rPr>
        <w:t>nsure implementation of age-appropriate screening instruments for the early identification of students with dyslexi</w:t>
      </w:r>
      <w:r w:rsidR="00F245C1" w:rsidRPr="00F96F02">
        <w:rPr>
          <w:color w:val="auto"/>
          <w:u w:val="single"/>
        </w:rPr>
        <w:t>a and students with dyscalculia;</w:t>
      </w:r>
    </w:p>
    <w:p w14:paraId="16B3DE1C" w14:textId="77777777" w:rsidR="00177F5D" w:rsidRPr="00F96F02" w:rsidRDefault="00F245C1" w:rsidP="00177F5D">
      <w:pPr>
        <w:pStyle w:val="SectionBody"/>
        <w:rPr>
          <w:color w:val="auto"/>
          <w:u w:val="single"/>
        </w:rPr>
      </w:pPr>
      <w:r w:rsidRPr="00F96F02">
        <w:rPr>
          <w:color w:val="auto"/>
          <w:u w:val="single"/>
        </w:rPr>
        <w:t>(3) S</w:t>
      </w:r>
      <w:r w:rsidR="00177F5D" w:rsidRPr="00F96F02">
        <w:rPr>
          <w:color w:val="auto"/>
          <w:u w:val="single"/>
        </w:rPr>
        <w:t>creen every kindergarten student enrolled for dyslexia and dyscalculia using the screening instru</w:t>
      </w:r>
      <w:r w:rsidR="00F97653" w:rsidRPr="00F96F02">
        <w:rPr>
          <w:color w:val="auto"/>
          <w:u w:val="single"/>
        </w:rPr>
        <w:t xml:space="preserve">ment adopted by </w:t>
      </w:r>
      <w:r w:rsidR="00274CCF" w:rsidRPr="00F96F02">
        <w:rPr>
          <w:color w:val="auto"/>
          <w:u w:val="single"/>
        </w:rPr>
        <w:t>the state</w:t>
      </w:r>
      <w:r w:rsidR="00F97653" w:rsidRPr="00F96F02">
        <w:rPr>
          <w:color w:val="auto"/>
          <w:u w:val="single"/>
        </w:rPr>
        <w:t xml:space="preserve"> </w:t>
      </w:r>
      <w:r w:rsidR="00612FDC" w:rsidRPr="00F96F02">
        <w:rPr>
          <w:color w:val="auto"/>
          <w:u w:val="single"/>
        </w:rPr>
        <w:t>b</w:t>
      </w:r>
      <w:r w:rsidR="00F97653" w:rsidRPr="00F96F02">
        <w:rPr>
          <w:color w:val="auto"/>
          <w:u w:val="single"/>
        </w:rPr>
        <w:t>oard;</w:t>
      </w:r>
      <w:r w:rsidR="00177F5D" w:rsidRPr="00F96F02">
        <w:rPr>
          <w:color w:val="auto"/>
          <w:u w:val="single"/>
        </w:rPr>
        <w:t xml:space="preserve"> </w:t>
      </w:r>
    </w:p>
    <w:p w14:paraId="0D5CA760" w14:textId="77777777" w:rsidR="00177F5D" w:rsidRPr="00F96F02" w:rsidRDefault="00F97653" w:rsidP="00177F5D">
      <w:pPr>
        <w:pStyle w:val="SectionBody"/>
        <w:rPr>
          <w:color w:val="auto"/>
          <w:u w:val="single"/>
        </w:rPr>
      </w:pPr>
      <w:r w:rsidRPr="00F96F02">
        <w:rPr>
          <w:color w:val="auto"/>
          <w:u w:val="single"/>
        </w:rPr>
        <w:t>(4) S</w:t>
      </w:r>
      <w:r w:rsidR="00177F5D" w:rsidRPr="00F96F02">
        <w:rPr>
          <w:color w:val="auto"/>
          <w:u w:val="single"/>
        </w:rPr>
        <w:t>creen any student enrolled in first through sixth grade who has not been screened for dyslexia and dyscalculia under sub</w:t>
      </w:r>
      <w:r w:rsidRPr="00F96F02">
        <w:rPr>
          <w:color w:val="auto"/>
          <w:u w:val="single"/>
        </w:rPr>
        <w:t>division</w:t>
      </w:r>
      <w:r w:rsidR="00177F5D" w:rsidRPr="00F96F02">
        <w:rPr>
          <w:color w:val="auto"/>
          <w:u w:val="single"/>
        </w:rPr>
        <w:t xml:space="preserve"> (</w:t>
      </w:r>
      <w:r w:rsidRPr="00F96F02">
        <w:rPr>
          <w:color w:val="auto"/>
          <w:u w:val="single"/>
        </w:rPr>
        <w:t>3</w:t>
      </w:r>
      <w:r w:rsidR="00177F5D" w:rsidRPr="00F96F02">
        <w:rPr>
          <w:color w:val="auto"/>
          <w:u w:val="single"/>
        </w:rPr>
        <w:t xml:space="preserve">) </w:t>
      </w:r>
      <w:r w:rsidRPr="00F96F02">
        <w:rPr>
          <w:color w:val="auto"/>
          <w:u w:val="single"/>
        </w:rPr>
        <w:t xml:space="preserve">of this subsection </w:t>
      </w:r>
      <w:r w:rsidR="00177F5D" w:rsidRPr="00F96F02">
        <w:rPr>
          <w:color w:val="auto"/>
          <w:u w:val="single"/>
        </w:rPr>
        <w:t xml:space="preserve">using an age-appropriate screening instrument adopted by </w:t>
      </w:r>
      <w:r w:rsidR="00274CCF" w:rsidRPr="00F96F02">
        <w:rPr>
          <w:color w:val="auto"/>
          <w:u w:val="single"/>
        </w:rPr>
        <w:t>the state</w:t>
      </w:r>
      <w:r w:rsidR="00177F5D" w:rsidRPr="00F96F02">
        <w:rPr>
          <w:color w:val="auto"/>
          <w:u w:val="single"/>
        </w:rPr>
        <w:t xml:space="preserve"> </w:t>
      </w:r>
      <w:r w:rsidR="00612FDC" w:rsidRPr="00F96F02">
        <w:rPr>
          <w:color w:val="auto"/>
          <w:u w:val="single"/>
        </w:rPr>
        <w:t>b</w:t>
      </w:r>
      <w:r w:rsidR="00177F5D" w:rsidRPr="00F96F02">
        <w:rPr>
          <w:color w:val="auto"/>
          <w:u w:val="single"/>
        </w:rPr>
        <w:t>oard</w:t>
      </w:r>
      <w:r w:rsidRPr="00F96F02">
        <w:rPr>
          <w:color w:val="auto"/>
          <w:u w:val="single"/>
        </w:rPr>
        <w:t>;</w:t>
      </w:r>
    </w:p>
    <w:p w14:paraId="368DC120" w14:textId="77777777" w:rsidR="00B52175" w:rsidRPr="00F96F02" w:rsidRDefault="00F97653" w:rsidP="00177F5D">
      <w:pPr>
        <w:pStyle w:val="SectionBody"/>
        <w:rPr>
          <w:color w:val="auto"/>
          <w:u w:val="single"/>
        </w:rPr>
      </w:pPr>
      <w:r w:rsidRPr="00F96F02">
        <w:rPr>
          <w:color w:val="auto"/>
          <w:u w:val="single"/>
        </w:rPr>
        <w:t xml:space="preserve">(5) </w:t>
      </w:r>
      <w:r w:rsidR="00177F5D" w:rsidRPr="00F96F02">
        <w:rPr>
          <w:color w:val="auto"/>
          <w:u w:val="single"/>
        </w:rPr>
        <w:t xml:space="preserve">If a student is determined to exhibit potential indicators of dyslexia, dyscalculia, or other specific learning disabilities, administer a comprehensive assessment adopted by </w:t>
      </w:r>
      <w:r w:rsidR="00274CCF" w:rsidRPr="00F96F02">
        <w:rPr>
          <w:color w:val="auto"/>
          <w:u w:val="single"/>
        </w:rPr>
        <w:t>the state</w:t>
      </w:r>
      <w:r w:rsidR="00177F5D" w:rsidRPr="00F96F02">
        <w:rPr>
          <w:color w:val="auto"/>
          <w:u w:val="single"/>
        </w:rPr>
        <w:t xml:space="preserve"> </w:t>
      </w:r>
      <w:r w:rsidR="00612FDC" w:rsidRPr="00F96F02">
        <w:rPr>
          <w:color w:val="auto"/>
          <w:u w:val="single"/>
        </w:rPr>
        <w:t>b</w:t>
      </w:r>
      <w:r w:rsidR="00177F5D" w:rsidRPr="00F96F02">
        <w:rPr>
          <w:color w:val="auto"/>
          <w:u w:val="single"/>
        </w:rPr>
        <w:t>oard to determine whethe</w:t>
      </w:r>
      <w:r w:rsidRPr="00F96F02">
        <w:rPr>
          <w:color w:val="auto"/>
          <w:u w:val="single"/>
        </w:rPr>
        <w:t>r the student has a disability;</w:t>
      </w:r>
    </w:p>
    <w:p w14:paraId="7736CBC1" w14:textId="77777777" w:rsidR="00177F5D" w:rsidRPr="00F96F02" w:rsidRDefault="00121B47" w:rsidP="00177F5D">
      <w:pPr>
        <w:pStyle w:val="SectionBody"/>
        <w:rPr>
          <w:color w:val="auto"/>
          <w:u w:val="single"/>
        </w:rPr>
      </w:pPr>
      <w:r w:rsidRPr="00F96F02">
        <w:rPr>
          <w:color w:val="auto"/>
          <w:u w:val="single"/>
        </w:rPr>
        <w:t>(6) T</w:t>
      </w:r>
      <w:r w:rsidR="00177F5D" w:rsidRPr="00F96F02">
        <w:rPr>
          <w:color w:val="auto"/>
          <w:u w:val="single"/>
        </w:rPr>
        <w:t xml:space="preserve">rain one or more school employees to administer the screening instruments provided by </w:t>
      </w:r>
      <w:r w:rsidR="00274CCF" w:rsidRPr="00F96F02">
        <w:rPr>
          <w:color w:val="auto"/>
          <w:u w:val="single"/>
        </w:rPr>
        <w:t>the State Board of Education</w:t>
      </w:r>
      <w:r w:rsidRPr="00F96F02">
        <w:rPr>
          <w:color w:val="auto"/>
          <w:u w:val="single"/>
        </w:rPr>
        <w:t>;</w:t>
      </w:r>
    </w:p>
    <w:p w14:paraId="0C3390DF" w14:textId="77777777" w:rsidR="00F34A11" w:rsidRPr="00F96F02" w:rsidRDefault="00121B47" w:rsidP="00177F5D">
      <w:pPr>
        <w:pStyle w:val="SectionBody"/>
        <w:rPr>
          <w:color w:val="auto"/>
        </w:rPr>
      </w:pPr>
      <w:r w:rsidRPr="00F96F02">
        <w:rPr>
          <w:color w:val="auto"/>
          <w:u w:val="single"/>
        </w:rPr>
        <w:t xml:space="preserve">(7) </w:t>
      </w:r>
      <w:r w:rsidR="00BF4567" w:rsidRPr="00F96F02">
        <w:rPr>
          <w:color w:val="auto"/>
          <w:u w:val="single"/>
        </w:rPr>
        <w:t xml:space="preserve">Make </w:t>
      </w:r>
      <w:r w:rsidR="00177F5D" w:rsidRPr="00F96F02">
        <w:rPr>
          <w:color w:val="auto"/>
          <w:u w:val="single"/>
        </w:rPr>
        <w:t xml:space="preserve">available </w:t>
      </w:r>
      <w:r w:rsidR="00BF4567" w:rsidRPr="00F96F02">
        <w:rPr>
          <w:color w:val="auto"/>
          <w:u w:val="single"/>
        </w:rPr>
        <w:t xml:space="preserve">ongoing professional development opportunities </w:t>
      </w:r>
      <w:r w:rsidR="00177F5D" w:rsidRPr="00F96F02">
        <w:rPr>
          <w:color w:val="auto"/>
          <w:u w:val="single"/>
        </w:rPr>
        <w:t>to teacher</w:t>
      </w:r>
      <w:r w:rsidR="00BF4567" w:rsidRPr="00F96F02">
        <w:rPr>
          <w:color w:val="auto"/>
          <w:u w:val="single"/>
        </w:rPr>
        <w:t>s</w:t>
      </w:r>
      <w:r w:rsidR="00177F5D" w:rsidRPr="00F96F02">
        <w:rPr>
          <w:color w:val="auto"/>
          <w:u w:val="single"/>
        </w:rPr>
        <w:t xml:space="preserve"> and other school personnel on the identification of and intervention strategies for students with dyslexia, dyscalculia, or other </w:t>
      </w:r>
      <w:r w:rsidRPr="00F96F02">
        <w:rPr>
          <w:color w:val="auto"/>
          <w:u w:val="single"/>
        </w:rPr>
        <w:t>specific learning disabilities;</w:t>
      </w:r>
    </w:p>
    <w:p w14:paraId="314961E7" w14:textId="77777777" w:rsidR="0045763E" w:rsidRPr="00F96F02" w:rsidRDefault="00121B47" w:rsidP="0045763E">
      <w:pPr>
        <w:pStyle w:val="SectionBody"/>
        <w:rPr>
          <w:color w:val="auto"/>
          <w:u w:val="single"/>
        </w:rPr>
      </w:pPr>
      <w:r w:rsidRPr="00F96F02">
        <w:rPr>
          <w:color w:val="auto"/>
          <w:u w:val="single"/>
        </w:rPr>
        <w:t xml:space="preserve">(8) </w:t>
      </w:r>
      <w:r w:rsidR="0045763E" w:rsidRPr="00F96F02">
        <w:rPr>
          <w:color w:val="auto"/>
          <w:u w:val="single"/>
        </w:rPr>
        <w:t xml:space="preserve">Provide each student identified as having dyslexia, dyscalculia, or other specific learning disability appropriate intervention strategies in accordance with the guidelines adopted by </w:t>
      </w:r>
      <w:r w:rsidR="00274CCF" w:rsidRPr="00F96F02">
        <w:rPr>
          <w:color w:val="auto"/>
          <w:u w:val="single"/>
        </w:rPr>
        <w:t>the state</w:t>
      </w:r>
      <w:r w:rsidR="0045763E" w:rsidRPr="00F96F02">
        <w:rPr>
          <w:color w:val="auto"/>
          <w:u w:val="single"/>
        </w:rPr>
        <w:t xml:space="preserve"> </w:t>
      </w:r>
      <w:r w:rsidR="00612FDC" w:rsidRPr="00F96F02">
        <w:rPr>
          <w:color w:val="auto"/>
          <w:u w:val="single"/>
        </w:rPr>
        <w:t>b</w:t>
      </w:r>
      <w:r w:rsidR="0045763E" w:rsidRPr="00F96F02">
        <w:rPr>
          <w:color w:val="auto"/>
          <w:u w:val="single"/>
        </w:rPr>
        <w:t>oard through the student's individualized education program</w:t>
      </w:r>
      <w:r w:rsidRPr="00F96F02">
        <w:rPr>
          <w:color w:val="auto"/>
          <w:u w:val="single"/>
        </w:rPr>
        <w:t>; and</w:t>
      </w:r>
    </w:p>
    <w:p w14:paraId="673D98CF" w14:textId="77777777" w:rsidR="008736AA" w:rsidRPr="00F96F02" w:rsidRDefault="00121B47" w:rsidP="00CC1F3B">
      <w:pPr>
        <w:pStyle w:val="SectionBody"/>
        <w:rPr>
          <w:color w:val="auto"/>
          <w:u w:val="single"/>
        </w:rPr>
      </w:pPr>
      <w:r w:rsidRPr="00F96F02">
        <w:rPr>
          <w:color w:val="auto"/>
          <w:u w:val="single"/>
        </w:rPr>
        <w:t>(9) E</w:t>
      </w:r>
      <w:r w:rsidR="007B240D" w:rsidRPr="00F96F02">
        <w:rPr>
          <w:color w:val="auto"/>
          <w:u w:val="single"/>
        </w:rPr>
        <w:t>nsur</w:t>
      </w:r>
      <w:r w:rsidR="00C242EB" w:rsidRPr="00F96F02">
        <w:rPr>
          <w:color w:val="auto"/>
          <w:u w:val="single"/>
        </w:rPr>
        <w:t>e</w:t>
      </w:r>
      <w:r w:rsidR="007B240D" w:rsidRPr="00F96F02">
        <w:rPr>
          <w:color w:val="auto"/>
          <w:u w:val="single"/>
        </w:rPr>
        <w:t xml:space="preserve"> that any </w:t>
      </w:r>
      <w:r w:rsidR="00C242EB" w:rsidRPr="00F96F02">
        <w:rPr>
          <w:color w:val="auto"/>
          <w:u w:val="single"/>
        </w:rPr>
        <w:t>i</w:t>
      </w:r>
      <w:r w:rsidR="007B240D" w:rsidRPr="00F96F02">
        <w:rPr>
          <w:color w:val="auto"/>
          <w:u w:val="single"/>
        </w:rPr>
        <w:t xml:space="preserve">ndividualized </w:t>
      </w:r>
      <w:r w:rsidR="00C242EB" w:rsidRPr="00F96F02">
        <w:rPr>
          <w:color w:val="auto"/>
          <w:u w:val="single"/>
        </w:rPr>
        <w:t>e</w:t>
      </w:r>
      <w:r w:rsidR="007B240D" w:rsidRPr="00F96F02">
        <w:rPr>
          <w:color w:val="auto"/>
          <w:u w:val="single"/>
        </w:rPr>
        <w:t xml:space="preserve">ducation </w:t>
      </w:r>
      <w:r w:rsidR="00C242EB" w:rsidRPr="00F96F02">
        <w:rPr>
          <w:color w:val="auto"/>
          <w:u w:val="single"/>
        </w:rPr>
        <w:t>p</w:t>
      </w:r>
      <w:r w:rsidR="007B240D" w:rsidRPr="00F96F02">
        <w:rPr>
          <w:color w:val="auto"/>
          <w:u w:val="single"/>
        </w:rPr>
        <w:t>rogram regarding specific learning disabilities, including dyslexia or dyscalculia, which is developed or implemented, is consistent with the provisions of this section</w:t>
      </w:r>
      <w:r w:rsidR="0045763E" w:rsidRPr="00F96F02">
        <w:rPr>
          <w:color w:val="auto"/>
          <w:u w:val="single"/>
        </w:rPr>
        <w:t>.</w:t>
      </w:r>
    </w:p>
    <w:p w14:paraId="411C1863" w14:textId="77777777" w:rsidR="00C33014" w:rsidRPr="00F96F02" w:rsidRDefault="00C33014" w:rsidP="00CC1F3B">
      <w:pPr>
        <w:pStyle w:val="Note"/>
        <w:rPr>
          <w:color w:val="auto"/>
        </w:rPr>
      </w:pPr>
    </w:p>
    <w:p w14:paraId="6DE069F9" w14:textId="19E36EA2" w:rsidR="006865E9" w:rsidRPr="00F96F02" w:rsidRDefault="00CF1DCA" w:rsidP="00CC1F3B">
      <w:pPr>
        <w:pStyle w:val="Note"/>
        <w:rPr>
          <w:color w:val="auto"/>
        </w:rPr>
      </w:pPr>
      <w:r w:rsidRPr="00F96F02">
        <w:rPr>
          <w:color w:val="auto"/>
        </w:rPr>
        <w:t>NOTE: The</w:t>
      </w:r>
      <w:r w:rsidR="006865E9" w:rsidRPr="00F96F02">
        <w:rPr>
          <w:color w:val="auto"/>
        </w:rPr>
        <w:t xml:space="preserve"> purpose of this bill is to </w:t>
      </w:r>
      <w:r w:rsidR="00CA7CD6" w:rsidRPr="00F96F02">
        <w:rPr>
          <w:color w:val="auto"/>
        </w:rPr>
        <w:t>specify State Board of Education and local school boards responsibilities relating to students with dyslexia or dyscalculia.</w:t>
      </w:r>
    </w:p>
    <w:p w14:paraId="554E77C2" w14:textId="77777777" w:rsidR="006865E9" w:rsidRPr="00F96F02" w:rsidRDefault="00AE48A0" w:rsidP="00CC1F3B">
      <w:pPr>
        <w:pStyle w:val="Note"/>
        <w:rPr>
          <w:color w:val="auto"/>
        </w:rPr>
      </w:pPr>
      <w:r w:rsidRPr="00F96F02">
        <w:rPr>
          <w:color w:val="auto"/>
        </w:rPr>
        <w:t>Strike-throughs indicate language that would be stricken from a heading or the present law and underscoring indicates new language that would be added.</w:t>
      </w:r>
    </w:p>
    <w:sectPr w:rsidR="006865E9" w:rsidRPr="00F96F02" w:rsidSect="001E0507">
      <w:footerReference w:type="default" r:id="rId1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152736" w14:textId="77777777" w:rsidR="00073063" w:rsidRPr="00B844FE" w:rsidRDefault="00073063" w:rsidP="00B844FE">
      <w:r>
        <w:separator/>
      </w:r>
    </w:p>
  </w:endnote>
  <w:endnote w:type="continuationSeparator" w:id="0">
    <w:p w14:paraId="25FD8525" w14:textId="77777777" w:rsidR="00073063" w:rsidRPr="00B844FE" w:rsidRDefault="0007306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0991440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4EC1FE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7B0E36FA" w14:textId="77777777" w:rsidR="002A0269" w:rsidRDefault="00DF199D" w:rsidP="00DF199D">
        <w:pPr>
          <w:pStyle w:val="Footer"/>
          <w:jc w:val="center"/>
        </w:pPr>
        <w:r>
          <w:fldChar w:fldCharType="begin"/>
        </w:r>
        <w:r>
          <w:instrText xml:space="preserve"> PAGE   \* MERGEFORMAT </w:instrText>
        </w:r>
        <w:r>
          <w:fldChar w:fldCharType="separate"/>
        </w:r>
        <w:r w:rsidR="004E42FC">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586A81" w14:textId="77777777" w:rsidR="00E429DB" w:rsidRDefault="00E429D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3870194"/>
      <w:docPartObj>
        <w:docPartGallery w:val="Page Numbers (Bottom of Page)"/>
        <w:docPartUnique/>
      </w:docPartObj>
    </w:sdtPr>
    <w:sdtEndPr>
      <w:rPr>
        <w:noProof/>
      </w:rPr>
    </w:sdtEndPr>
    <w:sdtContent>
      <w:p w14:paraId="203002B6" w14:textId="77777777" w:rsidR="003D18C2" w:rsidRDefault="003D18C2">
        <w:pPr>
          <w:pStyle w:val="Footer"/>
          <w:jc w:val="center"/>
        </w:pPr>
        <w:r>
          <w:fldChar w:fldCharType="begin"/>
        </w:r>
        <w:r>
          <w:instrText xml:space="preserve"> PAGE   \* MERGEFORMAT </w:instrText>
        </w:r>
        <w:r>
          <w:fldChar w:fldCharType="separate"/>
        </w:r>
        <w:r w:rsidR="004E42FC">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552285" w14:textId="77777777" w:rsidR="00073063" w:rsidRPr="00B844FE" w:rsidRDefault="00073063" w:rsidP="00B844FE">
      <w:r>
        <w:separator/>
      </w:r>
    </w:p>
  </w:footnote>
  <w:footnote w:type="continuationSeparator" w:id="0">
    <w:p w14:paraId="7D8BBF77" w14:textId="77777777" w:rsidR="00073063" w:rsidRPr="00B844FE" w:rsidRDefault="0007306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0B381" w14:textId="77777777" w:rsidR="002A0269" w:rsidRPr="00B844FE" w:rsidRDefault="002410EA">
    <w:pPr>
      <w:pStyle w:val="Header"/>
    </w:pPr>
    <w:sdt>
      <w:sdtPr>
        <w:id w:val="-684364211"/>
        <w:placeholder>
          <w:docPart w:val="4A4FF9DFC25649E9B551B2BD82744BA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4FF9DFC25649E9B551B2BD82744BA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A5092" w14:textId="63C7EB26" w:rsidR="00C33014" w:rsidRPr="00C33014" w:rsidRDefault="00AE48A0" w:rsidP="000573A9">
    <w:pPr>
      <w:pStyle w:val="HeaderStyle"/>
    </w:pPr>
    <w:r>
      <w:t>I</w:t>
    </w:r>
    <w:r w:rsidR="00A8472F">
      <w:t>ntr</w:t>
    </w:r>
    <w:r w:rsidR="00BD4ED7">
      <w:t xml:space="preserve"> HB</w:t>
    </w:r>
    <w:sdt>
      <w:sdtPr>
        <w:tag w:val="BNumWH"/>
        <w:id w:val="138549797"/>
        <w:placeholder>
          <w:docPart w:val="99163E4EA3024E279DBB6B9DD5365F1F"/>
        </w:placeholder>
        <w:showingPlcHdr/>
        <w:text/>
      </w:sdtPr>
      <w:sdtEndPr/>
      <w:sdtContent/>
    </w:sdt>
    <w:r w:rsidR="00C33014" w:rsidRPr="002A0269">
      <w:ptab w:relativeTo="margin" w:alignment="center" w:leader="none"/>
    </w:r>
    <w:r w:rsidR="00C33014">
      <w:tab/>
    </w:r>
    <w:sdt>
      <w:sdtPr>
        <w:rPr>
          <w:color w:val="auto"/>
        </w:rPr>
        <w:alias w:val="CBD Number"/>
        <w:tag w:val="CBD Number"/>
        <w:id w:val="1176923086"/>
        <w:lock w:val="sdtLocked"/>
        <w:placeholder>
          <w:docPart w:val="0BDE598762D147608A8E7A8466DE4A33"/>
        </w:placeholder>
        <w:text/>
      </w:sdtPr>
      <w:sdtEndPr/>
      <w:sdtContent>
        <w:r w:rsidR="00E429DB">
          <w:rPr>
            <w:color w:val="auto"/>
          </w:rPr>
          <w:t>2021R2373</w:t>
        </w:r>
      </w:sdtContent>
    </w:sdt>
  </w:p>
  <w:p w14:paraId="6141E10E"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5F267" w14:textId="2F13CD61" w:rsidR="002A0269" w:rsidRPr="002A0269" w:rsidRDefault="00C33014" w:rsidP="00CC1F3B">
    <w:pPr>
      <w:pStyle w:val="HeaderStyle"/>
    </w:pPr>
    <w:r w:rsidRPr="002A0269">
      <w:ptab w:relativeTo="margin" w:alignment="center" w:leader="none"/>
    </w:r>
    <w:r>
      <w:tab/>
    </w:r>
    <w:sdt>
      <w:sdtPr>
        <w:alias w:val="CBD Number"/>
        <w:tag w:val="CBD Number"/>
        <w:id w:val="-944383718"/>
        <w:lock w:val="sdtLocked"/>
        <w:placeholder>
          <w:docPart w:val="FB8B4A61489F4EACB892C6D8D2EA8986"/>
        </w:placeholder>
        <w:text/>
      </w:sdtPr>
      <w:sdtEndPr/>
      <w:sdtContent>
        <w:r w:rsidR="00E429DB">
          <w:t>2021R2373</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0" w:nlCheck="1" w:checkStyle="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CxNDAxMzY3MzIxMTFX0lEKTi0uzszPAykwrAUAO8Zb6CwAAAA="/>
  </w:docVars>
  <w:rsids>
    <w:rsidRoot w:val="00CF1DCA"/>
    <w:rsid w:val="0000526A"/>
    <w:rsid w:val="00016C77"/>
    <w:rsid w:val="000573A9"/>
    <w:rsid w:val="00073063"/>
    <w:rsid w:val="00085D22"/>
    <w:rsid w:val="000B0D9A"/>
    <w:rsid w:val="000C5C77"/>
    <w:rsid w:val="000F7648"/>
    <w:rsid w:val="0010070F"/>
    <w:rsid w:val="00102700"/>
    <w:rsid w:val="00121B47"/>
    <w:rsid w:val="0015112E"/>
    <w:rsid w:val="001552E7"/>
    <w:rsid w:val="001566B4"/>
    <w:rsid w:val="00177F5D"/>
    <w:rsid w:val="001C279E"/>
    <w:rsid w:val="001D459E"/>
    <w:rsid w:val="001E0507"/>
    <w:rsid w:val="00214D60"/>
    <w:rsid w:val="002410EA"/>
    <w:rsid w:val="0027011C"/>
    <w:rsid w:val="00274200"/>
    <w:rsid w:val="00274CCF"/>
    <w:rsid w:val="00275740"/>
    <w:rsid w:val="002A0269"/>
    <w:rsid w:val="00303684"/>
    <w:rsid w:val="003143F5"/>
    <w:rsid w:val="00314854"/>
    <w:rsid w:val="00352335"/>
    <w:rsid w:val="003705EE"/>
    <w:rsid w:val="00394191"/>
    <w:rsid w:val="003A733C"/>
    <w:rsid w:val="003C51CD"/>
    <w:rsid w:val="003D18C2"/>
    <w:rsid w:val="00412CA9"/>
    <w:rsid w:val="004368E0"/>
    <w:rsid w:val="00457632"/>
    <w:rsid w:val="0045763E"/>
    <w:rsid w:val="00466EE4"/>
    <w:rsid w:val="00472789"/>
    <w:rsid w:val="004C13DD"/>
    <w:rsid w:val="004E3441"/>
    <w:rsid w:val="004E42FC"/>
    <w:rsid w:val="0055767A"/>
    <w:rsid w:val="00563116"/>
    <w:rsid w:val="005A5366"/>
    <w:rsid w:val="005C3D2D"/>
    <w:rsid w:val="00612FDC"/>
    <w:rsid w:val="0063421F"/>
    <w:rsid w:val="00637E73"/>
    <w:rsid w:val="006865E9"/>
    <w:rsid w:val="00691F3E"/>
    <w:rsid w:val="00694BFB"/>
    <w:rsid w:val="006A106B"/>
    <w:rsid w:val="006C523D"/>
    <w:rsid w:val="006D2BD2"/>
    <w:rsid w:val="006D4036"/>
    <w:rsid w:val="006F3282"/>
    <w:rsid w:val="0072279C"/>
    <w:rsid w:val="00724F33"/>
    <w:rsid w:val="007361E8"/>
    <w:rsid w:val="007A7081"/>
    <w:rsid w:val="007B240D"/>
    <w:rsid w:val="007B4264"/>
    <w:rsid w:val="007F1CF5"/>
    <w:rsid w:val="007F5506"/>
    <w:rsid w:val="00834EDE"/>
    <w:rsid w:val="00863C5D"/>
    <w:rsid w:val="008736AA"/>
    <w:rsid w:val="008D275D"/>
    <w:rsid w:val="00933913"/>
    <w:rsid w:val="0094357F"/>
    <w:rsid w:val="00980327"/>
    <w:rsid w:val="00986478"/>
    <w:rsid w:val="009B5557"/>
    <w:rsid w:val="009C04A8"/>
    <w:rsid w:val="009F1067"/>
    <w:rsid w:val="00A31E01"/>
    <w:rsid w:val="00A527AD"/>
    <w:rsid w:val="00A718CF"/>
    <w:rsid w:val="00A8472F"/>
    <w:rsid w:val="00AE48A0"/>
    <w:rsid w:val="00AE61BE"/>
    <w:rsid w:val="00B16F25"/>
    <w:rsid w:val="00B24422"/>
    <w:rsid w:val="00B333A4"/>
    <w:rsid w:val="00B52175"/>
    <w:rsid w:val="00B80C20"/>
    <w:rsid w:val="00B844FE"/>
    <w:rsid w:val="00B86B4F"/>
    <w:rsid w:val="00BC562B"/>
    <w:rsid w:val="00BD4ED7"/>
    <w:rsid w:val="00BF4567"/>
    <w:rsid w:val="00C05900"/>
    <w:rsid w:val="00C242EB"/>
    <w:rsid w:val="00C33014"/>
    <w:rsid w:val="00C33434"/>
    <w:rsid w:val="00C34869"/>
    <w:rsid w:val="00C42EB6"/>
    <w:rsid w:val="00C65DD8"/>
    <w:rsid w:val="00C76411"/>
    <w:rsid w:val="00C85096"/>
    <w:rsid w:val="00CA7CD6"/>
    <w:rsid w:val="00CB20EF"/>
    <w:rsid w:val="00CC009A"/>
    <w:rsid w:val="00CC1F3B"/>
    <w:rsid w:val="00CD12CB"/>
    <w:rsid w:val="00CD36CF"/>
    <w:rsid w:val="00CE2952"/>
    <w:rsid w:val="00CF1DCA"/>
    <w:rsid w:val="00D40FDF"/>
    <w:rsid w:val="00D56A4F"/>
    <w:rsid w:val="00D579FC"/>
    <w:rsid w:val="00D663F6"/>
    <w:rsid w:val="00D81C16"/>
    <w:rsid w:val="00D92E89"/>
    <w:rsid w:val="00DE526B"/>
    <w:rsid w:val="00DF199D"/>
    <w:rsid w:val="00E01542"/>
    <w:rsid w:val="00E365F1"/>
    <w:rsid w:val="00E429DB"/>
    <w:rsid w:val="00E51DC8"/>
    <w:rsid w:val="00E62F48"/>
    <w:rsid w:val="00E831B3"/>
    <w:rsid w:val="00EC4981"/>
    <w:rsid w:val="00EE70CB"/>
    <w:rsid w:val="00F245C1"/>
    <w:rsid w:val="00F3268F"/>
    <w:rsid w:val="00F34A11"/>
    <w:rsid w:val="00F41CA2"/>
    <w:rsid w:val="00F443C0"/>
    <w:rsid w:val="00F62EFB"/>
    <w:rsid w:val="00F80BF3"/>
    <w:rsid w:val="00F83EDC"/>
    <w:rsid w:val="00F939A4"/>
    <w:rsid w:val="00F96F02"/>
    <w:rsid w:val="00F97653"/>
    <w:rsid w:val="00FA7B09"/>
    <w:rsid w:val="00FB46B0"/>
    <w:rsid w:val="00FD5B51"/>
    <w:rsid w:val="00FE067E"/>
    <w:rsid w:val="00FE2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C00EEE2"/>
  <w15:chartTrackingRefBased/>
  <w15:docId w15:val="{9F329808-AB59-4CF9-9B2D-879F345BE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34A11"/>
    <w:rPr>
      <w:rFonts w:eastAsia="Calibri"/>
      <w:b/>
      <w:caps/>
      <w:color w:val="000000"/>
      <w:sz w:val="24"/>
    </w:rPr>
  </w:style>
  <w:style w:type="character" w:customStyle="1" w:styleId="SectionBodyChar">
    <w:name w:val="Section Body Char"/>
    <w:link w:val="SectionBody"/>
    <w:rsid w:val="00F34A11"/>
    <w:rPr>
      <w:rFonts w:eastAsia="Calibri"/>
      <w:color w:val="000000"/>
    </w:rPr>
  </w:style>
  <w:style w:type="character" w:customStyle="1" w:styleId="SectionHeadingChar">
    <w:name w:val="Section Heading Char"/>
    <w:link w:val="SectionHeading"/>
    <w:rsid w:val="00F34A11"/>
    <w:rPr>
      <w:rFonts w:eastAsia="Calibri"/>
      <w:b/>
      <w:color w:val="000000"/>
    </w:rPr>
  </w:style>
  <w:style w:type="paragraph" w:styleId="BalloonText">
    <w:name w:val="Balloon Text"/>
    <w:basedOn w:val="Normal"/>
    <w:link w:val="BalloonTextChar"/>
    <w:uiPriority w:val="99"/>
    <w:semiHidden/>
    <w:unhideWhenUsed/>
    <w:locked/>
    <w:rsid w:val="005C3D2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3D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2D24DA" w:rsidRDefault="002D24DA">
          <w:pPr>
            <w:pStyle w:val="262077F1CEAC43F0B63A2D80B7EB781D"/>
          </w:pPr>
          <w:r w:rsidRPr="00B844FE">
            <w:t>Prefix Text</w:t>
          </w:r>
        </w:p>
      </w:docPartBody>
    </w:docPart>
    <w:docPart>
      <w:docPartPr>
        <w:name w:val="4A4FF9DFC25649E9B551B2BD82744BA4"/>
        <w:category>
          <w:name w:val="General"/>
          <w:gallery w:val="placeholder"/>
        </w:category>
        <w:types>
          <w:type w:val="bbPlcHdr"/>
        </w:types>
        <w:behaviors>
          <w:behavior w:val="content"/>
        </w:behaviors>
        <w:guid w:val="{2749A635-AAD0-4BB5-923B-3EEDA7693D75}"/>
      </w:docPartPr>
      <w:docPartBody>
        <w:p w:rsidR="002D24DA" w:rsidRDefault="00C875DE">
          <w:pPr>
            <w:pStyle w:val="4A4FF9DFC25649E9B551B2BD82744BA4"/>
          </w:pPr>
          <w:r w:rsidRPr="00B844FE">
            <w:t>[Type here]</w:t>
          </w:r>
        </w:p>
      </w:docPartBody>
    </w:docPart>
    <w:docPart>
      <w:docPartPr>
        <w:name w:val="E1E2AC8F52414CB7A8CAC9336975C0A5"/>
        <w:category>
          <w:name w:val="General"/>
          <w:gallery w:val="placeholder"/>
        </w:category>
        <w:types>
          <w:type w:val="bbPlcHdr"/>
        </w:types>
        <w:behaviors>
          <w:behavior w:val="content"/>
        </w:behaviors>
        <w:guid w:val="{5639DE03-BD8B-487F-AAF8-AC7C5FA75F95}"/>
      </w:docPartPr>
      <w:docPartBody>
        <w:p w:rsidR="002D24DA" w:rsidRDefault="00C875DE">
          <w:pPr>
            <w:pStyle w:val="E1E2AC8F52414CB7A8CAC9336975C0A5"/>
          </w:pPr>
          <w:r w:rsidRPr="00B844FE">
            <w:t>Number</w:t>
          </w:r>
        </w:p>
      </w:docPartBody>
    </w:docPart>
    <w:docPart>
      <w:docPartPr>
        <w:name w:val="EAE45A651D4745E790ECB2ACB0743862"/>
        <w:category>
          <w:name w:val="General"/>
          <w:gallery w:val="placeholder"/>
        </w:category>
        <w:types>
          <w:type w:val="bbPlcHdr"/>
        </w:types>
        <w:behaviors>
          <w:behavior w:val="content"/>
        </w:behaviors>
        <w:guid w:val="{069E9DE4-6463-4272-B530-5F23C6D46020}"/>
      </w:docPartPr>
      <w:docPartBody>
        <w:p w:rsidR="002D24DA" w:rsidRDefault="00C875DE">
          <w:pPr>
            <w:pStyle w:val="EAE45A651D4745E790ECB2ACB0743862"/>
          </w:pPr>
          <w:r w:rsidRPr="00B844FE">
            <w:t>Enter Sponsors Here</w:t>
          </w:r>
        </w:p>
      </w:docPartBody>
    </w:docPart>
    <w:docPart>
      <w:docPartPr>
        <w:name w:val="72F96FE023FE4DCF8CE63779FEE0FE2B"/>
        <w:category>
          <w:name w:val="General"/>
          <w:gallery w:val="placeholder"/>
        </w:category>
        <w:types>
          <w:type w:val="bbPlcHdr"/>
        </w:types>
        <w:behaviors>
          <w:behavior w:val="content"/>
        </w:behaviors>
        <w:guid w:val="{C12CDB1C-AA74-40A2-8B4F-4631368FFBCB}"/>
      </w:docPartPr>
      <w:docPartBody>
        <w:p w:rsidR="002D24DA" w:rsidRDefault="00C875DE" w:rsidP="00C875DE">
          <w:pPr>
            <w:pStyle w:val="72F96FE023FE4DCF8CE63779FEE0FE2B10"/>
          </w:pPr>
          <w:r>
            <w:rPr>
              <w:rStyle w:val="PlaceholderText"/>
            </w:rPr>
            <w:t>Enter References</w:t>
          </w:r>
        </w:p>
      </w:docPartBody>
    </w:docPart>
    <w:docPart>
      <w:docPartPr>
        <w:name w:val="FB8B4A61489F4EACB892C6D8D2EA8986"/>
        <w:category>
          <w:name w:val="General"/>
          <w:gallery w:val="placeholder"/>
        </w:category>
        <w:types>
          <w:type w:val="bbPlcHdr"/>
        </w:types>
        <w:behaviors>
          <w:behavior w:val="content"/>
        </w:behaviors>
        <w:guid w:val="{7923C150-F9D7-4922-B077-D11784B77091}"/>
      </w:docPartPr>
      <w:docPartBody>
        <w:p w:rsidR="00C875DE" w:rsidRDefault="00C875DE" w:rsidP="00C875DE">
          <w:pPr>
            <w:pStyle w:val="FB8B4A61489F4EACB892C6D8D2EA89862"/>
          </w:pPr>
          <w:r>
            <w:rPr>
              <w:rStyle w:val="PlaceholderText"/>
            </w:rPr>
            <w:t>Click here to enter text.</w:t>
          </w:r>
        </w:p>
      </w:docPartBody>
    </w:docPart>
    <w:docPart>
      <w:docPartPr>
        <w:name w:val="0BDE598762D147608A8E7A8466DE4A33"/>
        <w:category>
          <w:name w:val="General"/>
          <w:gallery w:val="placeholder"/>
        </w:category>
        <w:types>
          <w:type w:val="bbPlcHdr"/>
        </w:types>
        <w:behaviors>
          <w:behavior w:val="content"/>
        </w:behaviors>
        <w:guid w:val="{2B15D4CA-E653-482F-80D6-29509ABD300D}"/>
      </w:docPartPr>
      <w:docPartBody>
        <w:p w:rsidR="00C875DE" w:rsidRDefault="00C875DE" w:rsidP="00C875DE">
          <w:pPr>
            <w:pStyle w:val="0BDE598762D147608A8E7A8466DE4A332"/>
          </w:pPr>
          <w:r>
            <w:rPr>
              <w:rStyle w:val="PlaceholderText"/>
            </w:rPr>
            <w:t>Click here to enter text.</w:t>
          </w:r>
        </w:p>
      </w:docPartBody>
    </w:docPart>
    <w:docPart>
      <w:docPartPr>
        <w:name w:val="99163E4EA3024E279DBB6B9DD5365F1F"/>
        <w:category>
          <w:name w:val="General"/>
          <w:gallery w:val="placeholder"/>
        </w:category>
        <w:types>
          <w:type w:val="bbPlcHdr"/>
        </w:types>
        <w:behaviors>
          <w:behavior w:val="content"/>
        </w:behaviors>
        <w:guid w:val="{26918E1D-0B56-4369-89AF-72D183210BE0}"/>
      </w:docPartPr>
      <w:docPartBody>
        <w:p w:rsidR="00953153" w:rsidRDefault="009531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A"/>
    <w:rsid w:val="00150DAE"/>
    <w:rsid w:val="002D24DA"/>
    <w:rsid w:val="00357E10"/>
    <w:rsid w:val="003604AA"/>
    <w:rsid w:val="00483839"/>
    <w:rsid w:val="008E3C95"/>
    <w:rsid w:val="009053E8"/>
    <w:rsid w:val="00953153"/>
    <w:rsid w:val="009B13B7"/>
    <w:rsid w:val="00A656B5"/>
    <w:rsid w:val="00B77365"/>
    <w:rsid w:val="00C875DE"/>
    <w:rsid w:val="00E74B80"/>
    <w:rsid w:val="00EE3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paragraph" w:customStyle="1" w:styleId="4A4FF9DFC25649E9B551B2BD82744BA4">
    <w:name w:val="4A4FF9DFC25649E9B551B2BD82744BA4"/>
  </w:style>
  <w:style w:type="paragraph" w:customStyle="1" w:styleId="E1E2AC8F52414CB7A8CAC9336975C0A5">
    <w:name w:val="E1E2AC8F52414CB7A8CAC9336975C0A5"/>
  </w:style>
  <w:style w:type="paragraph" w:customStyle="1" w:styleId="EAE45A651D4745E790ECB2ACB0743862">
    <w:name w:val="EAE45A651D4745E790ECB2ACB0743862"/>
  </w:style>
  <w:style w:type="character" w:styleId="PlaceholderText">
    <w:name w:val="Placeholder Text"/>
    <w:basedOn w:val="DefaultParagraphFont"/>
    <w:uiPriority w:val="99"/>
    <w:semiHidden/>
    <w:rsid w:val="00C875DE"/>
    <w:rPr>
      <w:color w:val="808080"/>
    </w:rPr>
  </w:style>
  <w:style w:type="paragraph" w:customStyle="1" w:styleId="72F96FE023FE4DCF8CE63779FEE0FE2B10">
    <w:name w:val="72F96FE023FE4DCF8CE63779FEE0FE2B10"/>
    <w:rsid w:val="00C875DE"/>
    <w:pPr>
      <w:suppressLineNumbers/>
      <w:spacing w:after="0" w:line="480" w:lineRule="auto"/>
      <w:ind w:left="1800" w:right="1800"/>
      <w:jc w:val="center"/>
    </w:pPr>
    <w:rPr>
      <w:rFonts w:ascii="Arial" w:eastAsia="Calibri" w:hAnsi="Arial"/>
      <w:color w:val="000000"/>
      <w:sz w:val="24"/>
    </w:rPr>
  </w:style>
  <w:style w:type="paragraph" w:customStyle="1" w:styleId="0BDE598762D147608A8E7A8466DE4A332">
    <w:name w:val="0BDE598762D147608A8E7A8466DE4A332"/>
    <w:rsid w:val="00C875DE"/>
    <w:pPr>
      <w:tabs>
        <w:tab w:val="center" w:pos="4680"/>
        <w:tab w:val="right" w:pos="9360"/>
      </w:tabs>
      <w:spacing w:after="0" w:line="240" w:lineRule="auto"/>
    </w:pPr>
    <w:rPr>
      <w:rFonts w:ascii="Arial" w:eastAsiaTheme="minorHAnsi" w:hAnsi="Arial"/>
      <w:sz w:val="20"/>
      <w:szCs w:val="20"/>
    </w:rPr>
  </w:style>
  <w:style w:type="paragraph" w:customStyle="1" w:styleId="FB8B4A61489F4EACB892C6D8D2EA89862">
    <w:name w:val="FB8B4A61489F4EACB892C6D8D2EA89862"/>
    <w:rsid w:val="00C875DE"/>
    <w:pPr>
      <w:tabs>
        <w:tab w:val="center" w:pos="4680"/>
        <w:tab w:val="right" w:pos="9360"/>
      </w:tabs>
      <w:spacing w:after="0" w:line="240" w:lineRule="auto"/>
    </w:pPr>
    <w:rPr>
      <w:rFonts w:ascii="Arial" w:eastAsiaTheme="minorHAnsi" w:hAnsi="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03284-9F9B-417D-9F2E-5BE9DDA27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1217</Words>
  <Characters>6938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Elkins</dc:creator>
  <cp:keywords/>
  <dc:description/>
  <cp:lastModifiedBy>Robert Altmann</cp:lastModifiedBy>
  <cp:revision>2</cp:revision>
  <cp:lastPrinted>2017-03-10T18:23:00Z</cp:lastPrinted>
  <dcterms:created xsi:type="dcterms:W3CDTF">2021-03-01T14:35:00Z</dcterms:created>
  <dcterms:modified xsi:type="dcterms:W3CDTF">2021-03-01T14:35:00Z</dcterms:modified>
</cp:coreProperties>
</file>